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乌鲁木齐职业大学食堂灭鼠要求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一、概况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乌鲁木齐职业大学食堂分布于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校本部、西校区天山区幸福路，面积：3000m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左右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；祥云校区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头屯河区苏州路西延段祥云中街566号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面积：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000m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；青年路校区天山区青年路369号，面积1500m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superscript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  <w:vertAlign w:val="baseline"/>
          <w:lang w:val="en-US" w:eastAsia="zh-CN"/>
        </w:rPr>
        <w:t>左右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二、资质和要求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独立的法定人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并持有营业执照、银行账户等，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近年财务审计报告书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具有良好的商业信誉和健全的财务会计制度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240" w:lineRule="auto"/>
        <w:ind w:right="0" w:righ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提供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 w:bidi="ar"/>
        </w:rPr>
        <w:t>灭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杀实施方案书，</w:t>
      </w:r>
      <w:r>
        <w:rPr>
          <w:rFonts w:hint="eastAsia"/>
          <w:sz w:val="28"/>
          <w:szCs w:val="28"/>
          <w:lang w:val="en-US" w:eastAsia="zh-CN"/>
        </w:rPr>
        <w:t>为高</w:t>
      </w:r>
      <w:r>
        <w:rPr>
          <w:rFonts w:hint="eastAsia"/>
          <w:sz w:val="28"/>
          <w:szCs w:val="28"/>
        </w:rPr>
        <w:t>校服务的优先考虑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。 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2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pacing w:val="-2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2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color w:val="000000"/>
          <w:spacing w:val="-2"/>
          <w:kern w:val="2"/>
          <w:sz w:val="28"/>
          <w:szCs w:val="28"/>
        </w:rPr>
        <w:t>15平方米标准房间，布放20×20厘米滑石粉块两块，一夜后阳性粉块不超过3％；有鼠洞、鼠粪、鼠咬等痕迹的房间不超过2％；重点单位防鼠设施不合格处不超过5％。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灭鼠饵料投放一个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月至少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更换一次，局部灭鼠次数不限，随时发生随时处理，如果鼠害严重时，加大灭鼠饵料投放密度和频率。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筑物外围必须采用固定式鼠饵站，鼠饵站内部饵料应采用相关器械隔档，防止老鼠取食将饵料带出造成二次污染。鼠饵站密度应在十米左右一个为宜。鼠饵站内部放置施工单，每次施工，施工单位工作人员应签字，以便甲方随时检查灭鼠工作进行情况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建筑物内部采用尽量采用物理消杀，减少使用化学药剂，以防对食物造成污染从而带来卫生安全隐患。内部 采用粘鼠板、捕鼠笼等物理消杀的方式进行。物理器械的安放需有实际作用和效果（不仅仅是符合相关标准）。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灭鼠工作的进行应和食堂相关负责人沟通，相关负责人认可方可签字。乙方在施工一个月以后需要达到大幅度降低鼠害密度。如果效果不明显，乙方需增加施工次数，直至甲方相关负责人认可通过方可。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8、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捕鼠笼、粘鼠板等物理消杀器械应及时检测更换，确保消杀器械起到鼠害防治最佳效果。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150" w:line="24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color w:val="000000"/>
          <w:spacing w:val="-2"/>
          <w:kern w:val="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A1C9E"/>
    <w:rsid w:val="010C17EA"/>
    <w:rsid w:val="0B8A0412"/>
    <w:rsid w:val="3FFF35C1"/>
    <w:rsid w:val="4510020E"/>
    <w:rsid w:val="4E7F6B3F"/>
    <w:rsid w:val="4FFA1D3B"/>
    <w:rsid w:val="575A1C9E"/>
    <w:rsid w:val="618304FC"/>
    <w:rsid w:val="697E21DF"/>
    <w:rsid w:val="6D535020"/>
    <w:rsid w:val="7737565D"/>
    <w:rsid w:val="7D35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FollowedHyperlink"/>
    <w:basedOn w:val="3"/>
    <w:qFormat/>
    <w:uiPriority w:val="0"/>
    <w:rPr>
      <w:color w:val="36434E"/>
      <w:u w:val="none"/>
    </w:rPr>
  </w:style>
  <w:style w:type="character" w:styleId="5">
    <w:name w:val="Hyperlink"/>
    <w:basedOn w:val="3"/>
    <w:qFormat/>
    <w:uiPriority w:val="0"/>
    <w:rPr>
      <w:color w:val="36434E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2018-05-08T03:04:00Z</dcterms:created>
  <dc:creator>471972583</dc:creator>
  <cp:lastModifiedBy>471972583</cp:lastModifiedBy>
  <cp:lastPrinted>2018-06-04T09:13:00Z</cp:lastPrinted>
  <dcterms:modified xsi:type="dcterms:W3CDTF">2018-09-20T07:42:00Z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